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1A05" w:rsidRDefault="00971A05" w:rsidP="00971A05">
      <w:r w:rsidRPr="00971A05">
        <w:rPr>
          <w:b/>
          <w:bCs/>
        </w:rPr>
        <w:t>Цель.</w:t>
      </w:r>
      <w:r w:rsidRPr="00971A05">
        <w:rPr>
          <w:rFonts w:ascii="Arial" w:hAnsi="Arial" w:cs="Arial"/>
          <w:b/>
          <w:bCs/>
        </w:rPr>
        <w:t> </w:t>
      </w:r>
      <w:r w:rsidRPr="00971A05">
        <w:rPr>
          <w:rFonts w:ascii="DINPro-Italic" w:hAnsi="DINPro-Italic" w:cs="DINPro-Italic"/>
          <w:b/>
          <w:bCs/>
        </w:rPr>
        <w:t>​</w:t>
      </w:r>
      <w:r>
        <w:t>Изучение взаимосвязи воспалительных заболеваний пародонта и развития сердечно-сосудистых заболеваний (ССЗ) у пациентов с различным кардиоваскулярным риском.</w:t>
      </w:r>
    </w:p>
    <w:p w:rsidR="00971A05" w:rsidRDefault="00971A05" w:rsidP="00971A05">
      <w:r w:rsidRPr="00971A05">
        <w:rPr>
          <w:b/>
          <w:bCs/>
        </w:rPr>
        <w:t>Материалы и методы</w:t>
      </w:r>
      <w:r w:rsidRPr="00971A05">
        <w:rPr>
          <w:rStyle w:val="Bold"/>
          <w:b w:val="0"/>
          <w:bCs w:val="0"/>
          <w:i/>
          <w:iCs/>
        </w:rPr>
        <w:t>.</w:t>
      </w:r>
      <w:r>
        <w:t xml:space="preserve"> Для выполнения исследования были сформированы четыре группы: пациенты с хроническим генерализованным пародонтитом легкой (n = 25), средней (n = 34), тяжелой (n = 30) степени и пациенты контрольной группы без воспалительных заболеваний пародонта (n = 20).</w:t>
      </w:r>
    </w:p>
    <w:p w:rsidR="00971A05" w:rsidRDefault="00971A05" w:rsidP="00971A05">
      <w:r w:rsidRPr="00971A05">
        <w:rPr>
          <w:b/>
          <w:bCs/>
        </w:rPr>
        <w:t>Результаты.</w:t>
      </w:r>
      <w:r>
        <w:t xml:space="preserve"> Дополнительным патогенетическим звеном, усиливающим связь между выраженностью воспалительных изменений пародонта и развитием ССЗ является системная воспалительная реакция с повышением высокочувствительного С-реактивного белка (</w:t>
      </w:r>
      <w:proofErr w:type="spellStart"/>
      <w:r>
        <w:t>hs</w:t>
      </w:r>
      <w:proofErr w:type="spellEnd"/>
      <w:r>
        <w:t>-CRP) в крови и IL-6. Сопряженное течение соматической и стоматологической патологии требует от стоматол</w:t>
      </w:r>
      <w:bookmarkStart w:id="0" w:name="_GoBack"/>
      <w:bookmarkEnd w:id="0"/>
      <w:r>
        <w:t>огов и кардиологов совместных усилий по модификации общих факторов риска.</w:t>
      </w:r>
    </w:p>
    <w:p w:rsidR="00971A05" w:rsidRDefault="00971A05" w:rsidP="00971A05">
      <w:r w:rsidRPr="00971A05">
        <w:rPr>
          <w:b/>
          <w:bCs/>
        </w:rPr>
        <w:t>Заключение.</w:t>
      </w:r>
      <w:r>
        <w:t xml:space="preserve"> Специалистам смежных специальностей при оценке субклинического атеросклероза и состояния тканей пародонта необходимо оценивать прогностическую значимость факторов риска с целью планирования и проведения целенаправленных профилактических мероприятий.</w:t>
      </w:r>
    </w:p>
    <w:p w:rsidR="006F3E07" w:rsidRPr="00971A05" w:rsidRDefault="00971A05" w:rsidP="00971A05">
      <w:r w:rsidRPr="00971A05">
        <w:rPr>
          <w:b/>
          <w:bCs/>
        </w:rPr>
        <w:t>Ключевые слова:</w:t>
      </w:r>
      <w:r>
        <w:t xml:space="preserve"> пародонтит, сердечно-сосудистые заболевания, кардиоваскулярный риск, </w:t>
      </w:r>
      <w:proofErr w:type="spellStart"/>
      <w:r>
        <w:t>hs</w:t>
      </w:r>
      <w:proofErr w:type="spellEnd"/>
      <w:r>
        <w:t>-CRP, воспаление, атеросклероз.</w:t>
      </w:r>
    </w:p>
    <w:sectPr w:rsidR="006F3E07" w:rsidRPr="00971A05" w:rsidSect="006504F7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-Italic">
    <w:panose1 w:val="020B0504020101020102"/>
    <w:charset w:val="00"/>
    <w:family w:val="swiss"/>
    <w:notTrueType/>
    <w:pitch w:val="variable"/>
    <w:sig w:usb0="A00002BF" w:usb1="4000207B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194"/>
    <w:rsid w:val="00321194"/>
    <w:rsid w:val="00607886"/>
    <w:rsid w:val="006F3E07"/>
    <w:rsid w:val="00971A05"/>
    <w:rsid w:val="00BB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CA3F89"/>
  <w15:chartTrackingRefBased/>
  <w15:docId w15:val="{5BBE0547-41EB-4E39-A2B0-B6BEA90BD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adText">
    <w:name w:val="LeadText (СТАРТ)"/>
    <w:basedOn w:val="a"/>
    <w:next w:val="a"/>
    <w:uiPriority w:val="99"/>
    <w:rsid w:val="00321194"/>
    <w:pPr>
      <w:shd w:val="clear" w:color="auto" w:fill="000000"/>
      <w:autoSpaceDE w:val="0"/>
      <w:autoSpaceDN w:val="0"/>
      <w:adjustRightInd w:val="0"/>
      <w:spacing w:after="0" w:line="280" w:lineRule="atLeast"/>
      <w:ind w:left="113" w:right="113"/>
      <w:jc w:val="both"/>
      <w:textAlignment w:val="center"/>
    </w:pPr>
    <w:rPr>
      <w:rFonts w:ascii="DINPro-Italic" w:hAnsi="DINPro-Italic" w:cs="DINPro-Italic"/>
      <w:i/>
      <w:iCs/>
      <w:color w:val="000000"/>
      <w:sz w:val="18"/>
      <w:szCs w:val="18"/>
    </w:rPr>
  </w:style>
  <w:style w:type="character" w:customStyle="1" w:styleId="sup">
    <w:name w:val="sup"/>
    <w:uiPriority w:val="99"/>
    <w:rsid w:val="00321194"/>
    <w:rPr>
      <w:vertAlign w:val="superscript"/>
    </w:rPr>
  </w:style>
  <w:style w:type="paragraph" w:styleId="a3">
    <w:name w:val="No Spacing"/>
    <w:uiPriority w:val="1"/>
    <w:qFormat/>
    <w:rsid w:val="00BB256E"/>
    <w:pPr>
      <w:spacing w:after="0" w:line="240" w:lineRule="auto"/>
    </w:pPr>
  </w:style>
  <w:style w:type="character" w:customStyle="1" w:styleId="Bold">
    <w:name w:val="Bold"/>
    <w:uiPriority w:val="99"/>
    <w:rsid w:val="00971A05"/>
    <w:rPr>
      <w:b/>
      <w:bCs/>
      <w:u w:val="none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2020-02-11T04:12:00Z</dcterms:created>
  <dcterms:modified xsi:type="dcterms:W3CDTF">2020-02-11T04:12:00Z</dcterms:modified>
</cp:coreProperties>
</file>